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1">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IFbv09oBAACAAwAADgAAAGRycy9lMm9Eb2MueG1srVPN&#10;jtMwEL4j8Q6W7zSJ0zolaroSWi0XBEi7PIBjO02k+Ee2t0lfAN6AExfuPFefg7EbugvcELLkeL4Z&#10;j79vZrK7mdWIjtL5wegGF6scI6m5EYM+NPjTw92rLUY+MC3YaLRs8El6fLN/+WI32VoS05tRSIcg&#10;ifb1ZBvch2DrLPO8l4r5lbFSg7MzTrEApjtkwrEJsqsxI3lOs8k4YZ3h0ntAby9OvE/5u07y8KHr&#10;vAxobDBwC2l3aW/jnu13rD44ZvuBLzTYP7BQbNDw6DXVLQsMPbrhr1Rq4M5404UVNyozXTdwmTSA&#10;miL/Q819z6xMWqA43l7L5P9fWv7++NGhQUDvMNJMQYvOX7+cv/04f/+MABLScyhX1eaM5MsiVUW7&#10;itA1LSpSrQkpo49U7YYTQl/TdfyWrCTlpsxhkbIoaUkJj3i1foqIdsIEITmrRM5iPybra6B1b4FY&#10;mN+YOXJbcA9gLPPcORW/UEAEfujs6dpNOQfEAaTrsiBbcHHwkS0lGzAgT/Z03Tof3kqjUDw02MG4&#10;pC6y4zsfLqG/QuJr2twN4wg4q0f9GwA5L4hMM7fcjkoujOMpzO28yGiNOIG6R+uGQw8PJ31ZDII2&#10;J4bLSMY5em7D+fmPs/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bLP3tgAAAAKAQAADwAAAAAA&#10;AAABACAAAAAiAAAAZHJzL2Rvd25yZXYueG1sUEsBAhQAFAAAAAgAh07iQCBW79PaAQAAgAMAAA4A&#10;AAAAAAAAAQAgAAAAJwEAAGRycy9lMm9Eb2MueG1sUEsFBgAAAAAGAAYAWQEAAHMFA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361035</w:t>
      </w:r>
    </w:p>
    <w:p>
      <w:pPr>
        <w:spacing w:line="600" w:lineRule="auto"/>
        <w:jc w:val="left"/>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：邯郸市中心血站</w:t>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w:t>
      </w:r>
      <w:r>
        <w:rPr>
          <w:rFonts w:hint="eastAsia" w:ascii="Times New Roman" w:eastAsia="黑体"/>
          <w:b w:val="0"/>
          <w:sz w:val="44"/>
          <w:szCs w:val="44"/>
          <w:lang w:val="en-US" w:eastAsia="zh-CN"/>
        </w:rPr>
        <w:t xml:space="preserve">  </w:t>
      </w:r>
      <w:r>
        <w:rPr>
          <w:rFonts w:ascii="Times New Roman" w:eastAsia="黑体"/>
          <w:b w:val="0"/>
          <w:sz w:val="44"/>
          <w:szCs w:val="44"/>
        </w:rPr>
        <w:t xml:space="preserve"> 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w:t>
      </w:r>
      <w:r>
        <w:rPr>
          <w:rFonts w:hint="eastAsia" w:ascii="Times New Roman" w:eastAsia="黑体"/>
          <w:b w:val="0"/>
          <w:sz w:val="32"/>
          <w:szCs w:val="32"/>
          <w:lang w:val="en-US" w:eastAsia="zh-CN"/>
        </w:rPr>
        <w:t xml:space="preserve">  </w:t>
      </w:r>
      <w:r>
        <w:rPr>
          <w:rFonts w:ascii="Times New Roman" w:eastAsia="黑体"/>
          <w:b w:val="0"/>
          <w:sz w:val="32"/>
          <w:szCs w:val="32"/>
        </w:rPr>
        <w:t>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w:t>
      </w:r>
      <w:r>
        <w:rPr>
          <w:rFonts w:hint="eastAsia" w:ascii="Times New Roman" w:eastAsia="黑体"/>
          <w:b w:val="0"/>
          <w:sz w:val="32"/>
          <w:szCs w:val="32"/>
          <w:lang w:val="en-US" w:eastAsia="zh-CN"/>
        </w:rPr>
        <w:t xml:space="preserve">  </w:t>
      </w:r>
      <w:r>
        <w:rPr>
          <w:rFonts w:ascii="Times New Roman" w:eastAsia="黑体"/>
          <w:b w:val="0"/>
          <w:sz w:val="32"/>
          <w:szCs w:val="32"/>
        </w:rPr>
        <w:t>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w:t>
      </w:r>
      <w:r>
        <w:rPr>
          <w:rFonts w:hint="eastAsia" w:ascii="Times New Roman" w:eastAsia="黑体"/>
          <w:b w:val="0"/>
          <w:sz w:val="32"/>
          <w:szCs w:val="32"/>
          <w:lang w:val="en-US" w:eastAsia="zh-CN"/>
        </w:rPr>
        <w:t xml:space="preserve">  </w:t>
      </w:r>
      <w:r>
        <w:rPr>
          <w:rFonts w:ascii="Times New Roman" w:eastAsia="黑体"/>
          <w:b w:val="0"/>
          <w:sz w:val="32"/>
          <w:szCs w:val="32"/>
        </w:rPr>
        <w:t>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w:t>
      </w:r>
      <w:r>
        <w:rPr>
          <w:rFonts w:hint="eastAsia" w:ascii="Times New Roman" w:eastAsia="黑体"/>
          <w:b w:val="0"/>
          <w:sz w:val="32"/>
          <w:szCs w:val="32"/>
          <w:lang w:val="en-US" w:eastAsia="zh-CN"/>
        </w:rPr>
        <w:t xml:space="preserve">  </w:t>
      </w:r>
      <w:bookmarkStart w:id="0" w:name="_GoBack"/>
      <w:bookmarkEnd w:id="0"/>
      <w:r>
        <w:rPr>
          <w:rFonts w:ascii="Times New Roman" w:eastAsia="黑体"/>
          <w:b w:val="0"/>
          <w:sz w:val="32"/>
          <w:szCs w:val="32"/>
        </w:rPr>
        <w:t>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w:t>
      </w:r>
      <w:r>
        <w:rPr>
          <w:rFonts w:hint="eastAsia" w:ascii="Times New Roman" w:eastAsia="黑体"/>
          <w:b w:val="0"/>
          <w:sz w:val="44"/>
          <w:szCs w:val="44"/>
          <w:lang w:val="en-US" w:eastAsia="zh-CN"/>
        </w:rPr>
        <w:t xml:space="preserve">  </w:t>
      </w:r>
      <w:r>
        <w:rPr>
          <w:rFonts w:ascii="Times New Roman" w:eastAsia="黑体"/>
          <w:b w:val="0"/>
          <w:sz w:val="44"/>
          <w:szCs w:val="44"/>
        </w:rPr>
        <w:t>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邯郸市中心血站位于市东柳西街18号，建于1981年6月，是经省卫生健康委批准的不以营利为目的，采集、提供临床用血的公益性事业单位。</w:t>
      </w:r>
      <w:r>
        <w:rPr>
          <w:rStyle w:val="25"/>
          <w:rFonts w:hint="eastAsia" w:ascii="仿宋_GB2312" w:hAnsi="仿宋_GB2312" w:eastAsia="仿宋_GB2312" w:cs="仿宋_GB2312"/>
          <w:sz w:val="32"/>
          <w:szCs w:val="32"/>
        </w:rPr>
        <w:t>负责邯郸市辖区内</w:t>
      </w:r>
      <w:r>
        <w:rPr>
          <w:rStyle w:val="25"/>
          <w:rFonts w:hint="eastAsia" w:ascii="仿宋_GB2312" w:hAnsi="仿宋_GB2312" w:eastAsia="仿宋_GB2312" w:cs="仿宋_GB2312"/>
          <w:color w:val="000000"/>
          <w:sz w:val="32"/>
          <w:szCs w:val="32"/>
        </w:rPr>
        <w:t>6区1市11县，户籍人口1054万人</w:t>
      </w:r>
      <w:r>
        <w:rPr>
          <w:rStyle w:val="25"/>
          <w:rFonts w:hint="eastAsia" w:ascii="仿宋_GB2312" w:hAnsi="仿宋_GB2312" w:eastAsia="仿宋_GB2312" w:cs="仿宋_GB2312"/>
          <w:sz w:val="32"/>
          <w:szCs w:val="32"/>
        </w:rPr>
        <w:t>的无偿献血和临床用血工作。</w:t>
      </w:r>
    </w:p>
    <w:p>
      <w:pPr>
        <w:spacing w:line="620" w:lineRule="exact"/>
        <w:ind w:firstLine="640" w:firstLineChars="200"/>
        <w:rPr>
          <w:rFonts w:hint="eastAsia" w:ascii="仿宋_GB2312" w:hAnsi="仿宋_GB2312" w:eastAsia="仿宋_GB2312" w:cs="仿宋_GB2312"/>
          <w:bCs/>
          <w:sz w:val="32"/>
          <w:szCs w:val="32"/>
        </w:rPr>
      </w:pPr>
      <w:r>
        <w:rPr>
          <w:rStyle w:val="25"/>
          <w:rFonts w:hint="eastAsia" w:ascii="仿宋_GB2312" w:hAnsi="仿宋_GB2312" w:eastAsia="仿宋_GB2312" w:cs="仿宋_GB2312"/>
          <w:sz w:val="32"/>
          <w:szCs w:val="32"/>
        </w:rPr>
        <w:t>开展的业务主要有制备全血和成分血二大类多个品种，临床服务项目有新生儿溶血病检查及产前预报、输血反应标本检测、疑难血型鉴定、血小板抗体检测及配型、ABO血型基因分型、血小板血型基因分型、白细胞血型基因分型等内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485"/>
        <w:gridCol w:w="25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7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53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3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70"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邯郸市中心血站</w:t>
            </w:r>
          </w:p>
        </w:tc>
        <w:tc>
          <w:tcPr>
            <w:tcW w:w="2533"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rPr>
              <w:t>经费自理事业单位</w:t>
            </w:r>
          </w:p>
        </w:tc>
        <w:tc>
          <w:tcPr>
            <w:tcW w:w="238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sz w:val="28"/>
                <w:szCs w:val="28"/>
              </w:rPr>
              <w:t>财政性资金零补助</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11659" w:type="dxa"/>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361" w:hRule="atLeast"/>
        </w:trPr>
        <w:tc>
          <w:tcPr>
            <w:tcW w:w="11625" w:type="dxa"/>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357" w:hRule="atLeast"/>
        </w:trPr>
        <w:tc>
          <w:tcPr>
            <w:tcW w:w="11625" w:type="dxa"/>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351" w:hRule="atLeast"/>
        </w:trPr>
        <w:tc>
          <w:tcPr>
            <w:tcW w:w="4581" w:type="dxa"/>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部门（单位）：邯郸市中心血站</w:t>
            </w:r>
          </w:p>
        </w:tc>
        <w:tc>
          <w:tcPr>
            <w:tcW w:w="2945" w:type="dxa"/>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4099" w:type="dxa"/>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544" w:hRule="atLeast"/>
        </w:trPr>
        <w:tc>
          <w:tcPr>
            <w:tcW w:w="5898"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5727" w:type="dxa"/>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308"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192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1928"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4" w:type="dxa"/>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92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4" w:type="dxa"/>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928"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9,094.62</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3.28</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8,425.40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1928" w:type="dxa"/>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624"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1928" w:type="dxa"/>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928"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192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1928" w:type="dxa"/>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624"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1928" w:type="dxa"/>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9,097.90</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8,425.40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476"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4" w:type="dxa"/>
          <w:trHeight w:val="308" w:hRule="atLeast"/>
        </w:trPr>
        <w:tc>
          <w:tcPr>
            <w:tcW w:w="334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1928"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9,097.91</w:t>
            </w:r>
          </w:p>
        </w:tc>
        <w:tc>
          <w:tcPr>
            <w:tcW w:w="317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19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9,097.91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59"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部门（单位）：邯郸市中心血站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9,097.90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9,094.62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9,094.62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公共卫生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9,094.62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采供血机构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9,094.62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3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9346" w:type="dxa"/>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346"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481" w:type="dxa"/>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部门（单位）：邯郸市中心血站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2623" w:type="dxa"/>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3242" w:type="dxa"/>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2227"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128"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1126"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126"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1126"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1126"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148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87"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28"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2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8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2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2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12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48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2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8,425.40</w:t>
            </w: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8,425.40</w:t>
            </w: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1187"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w:t>
            </w:r>
          </w:p>
        </w:tc>
        <w:tc>
          <w:tcPr>
            <w:tcW w:w="1187"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公共卫生</w:t>
            </w:r>
          </w:p>
        </w:tc>
        <w:tc>
          <w:tcPr>
            <w:tcW w:w="11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2100406</w:t>
            </w:r>
          </w:p>
        </w:tc>
        <w:tc>
          <w:tcPr>
            <w:tcW w:w="1187"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采供血机构</w:t>
            </w:r>
          </w:p>
        </w:tc>
        <w:tc>
          <w:tcPr>
            <w:tcW w:w="1128"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8,425.40</w:t>
            </w: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48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346"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11709"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1709" w:type="dxa"/>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709" w:type="dxa"/>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694" w:type="dxa"/>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部门（单位）：邯郸市中心血站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521" w:type="dxa"/>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4494" w:type="dxa"/>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035" w:type="dxa"/>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7674" w:type="dxa"/>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9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624"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1427"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2098" w:type="dxa"/>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4"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1295" w:type="dxa"/>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1219" w:type="dxa"/>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1219" w:type="dxa"/>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1219" w:type="dxa"/>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984"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4"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27"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98" w:type="dxa"/>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4"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95" w:type="dxa"/>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1219" w:type="dxa"/>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624" w:type="dxa"/>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42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624" w:type="dxa"/>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295"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19"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19"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19" w:type="dxa"/>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427" w:type="dxa"/>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624" w:type="dxa"/>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1295" w:type="dxa"/>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427"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6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1295"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624"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1427" w:type="dxa"/>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624"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1295" w:type="dxa"/>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209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1219" w:type="dxa"/>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2098" w:type="dxa"/>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14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98" w:type="dxa"/>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62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1295"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984" w:type="dxa"/>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624" w:type="dxa"/>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1427" w:type="dxa"/>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2098" w:type="dxa"/>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624" w:type="dxa"/>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1295" w:type="dxa"/>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0.01</w:t>
            </w:r>
          </w:p>
        </w:tc>
        <w:tc>
          <w:tcPr>
            <w:tcW w:w="1219" w:type="dxa"/>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0.01</w:t>
            </w:r>
          </w:p>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9" w:type="dxa"/>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709" w:type="dxa"/>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8697"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1329"/>
        <w:gridCol w:w="705"/>
        <w:gridCol w:w="1305"/>
        <w:gridCol w:w="1366"/>
        <w:gridCol w:w="645"/>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8697" w:type="dxa"/>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8697" w:type="dxa"/>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273" w:type="dxa"/>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编制部门（单位）：邯郸市中心血站</w:t>
            </w:r>
          </w:p>
        </w:tc>
        <w:tc>
          <w:tcPr>
            <w:tcW w:w="2671" w:type="dxa"/>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753" w:type="dxa"/>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1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2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13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20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20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23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3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0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0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23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3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0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0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0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20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2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2010"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11"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108"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trPr>
        <w:tc>
          <w:tcPr>
            <w:tcW w:w="8697" w:type="dxa"/>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11338" w:type="dxa"/>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1338" w:type="dxa"/>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338" w:type="dxa"/>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200" w:type="dxa"/>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部门（单位）：邯郸市中心血站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1963" w:type="dxa"/>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4175" w:type="dxa"/>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37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7540"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6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181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181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96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1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7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p>
        </w:tc>
        <w:tc>
          <w:tcPr>
            <w:tcW w:w="6520"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338" w:type="dxa"/>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10480" w:type="dxa"/>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0480"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480" w:type="dxa"/>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40" w:type="dxa"/>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部门（单位）：邯郸市中心血站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2552" w:type="dxa"/>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3888" w:type="dxa"/>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3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306"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3373" w:type="dxa"/>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2040"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474"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30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20" w:type="dxa"/>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146" w:type="dxa"/>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2040"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74"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0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0" w:type="dxa"/>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46"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40" w:type="dxa"/>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260" w:type="dxa"/>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474" w:type="dxa"/>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0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07"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0" w:type="dxa"/>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46" w:type="dxa"/>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40" w:type="dxa"/>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7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306" w:type="dxa"/>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102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110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1120"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114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2040"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trPr>
        <w:tc>
          <w:tcPr>
            <w:tcW w:w="27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306" w:type="dxa"/>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0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20"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14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20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480" w:type="dxa"/>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428" w:type="dxa"/>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9428"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8" w:type="dxa"/>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724" w:type="dxa"/>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部门（单位）：邯郸市中心血站</w:t>
            </w:r>
          </w:p>
        </w:tc>
        <w:tc>
          <w:tcPr>
            <w:tcW w:w="2680" w:type="dxa"/>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3024" w:type="dxa"/>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0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4408" w:type="dxa"/>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0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4408" w:type="dxa"/>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99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20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1337" w:type="dxa"/>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1338" w:type="dxa"/>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1733" w:type="dxa"/>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993"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027" w:type="dxa"/>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7" w:type="dxa"/>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8" w:type="dxa"/>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733" w:type="dxa"/>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020" w:type="dxa"/>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1332" w:type="dxa"/>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1333"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1743"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02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33"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743" w:type="dxa"/>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428"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11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1596" w:type="dxa"/>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1596" w:type="dxa"/>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4492" w:type="dxa"/>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部门（单位）：邯郸市中心血站</w:t>
            </w:r>
          </w:p>
        </w:tc>
        <w:tc>
          <w:tcPr>
            <w:tcW w:w="2166" w:type="dxa"/>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4938" w:type="dxa"/>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5813"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5783" w:type="dxa"/>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987"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122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2823" w:type="dxa"/>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777"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850" w:type="dxa"/>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1133"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2613" w:type="dxa"/>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1187"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987"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1226"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81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94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1063"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777"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850" w:type="dxa"/>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1133"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640"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102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94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1187"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987"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122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81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94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1063"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77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850"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113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640"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102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946"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118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987" w:type="dxa"/>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122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81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94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1063"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77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850"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113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64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946"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118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1596" w:type="dxa"/>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仿宋_GB2312" w:hAnsi="宋体" w:eastAsia="仿宋_GB2312"/>
          <w:b/>
          <w:color w:val="auto"/>
          <w:kern w:val="0"/>
          <w:sz w:val="32"/>
          <w:szCs w:val="32"/>
          <w:highlight w:val="none"/>
          <w:lang w:val="en-US" w:eastAsia="zh-CN"/>
        </w:rPr>
        <w:sectPr>
          <w:headerReference r:id="rId8" w:type="default"/>
          <w:footerReference r:id="rId9"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auto"/>
          <w:kern w:val="0"/>
          <w:sz w:val="32"/>
          <w:szCs w:val="32"/>
          <w:highlight w:val="none"/>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autoSpaceDE w:val="0"/>
        <w:autoSpaceDN w:val="0"/>
        <w:adjustRightInd w:val="0"/>
        <w:spacing w:line="580" w:lineRule="exact"/>
        <w:ind w:firstLine="640" w:firstLineChars="200"/>
        <w:jc w:val="left"/>
        <w:rPr>
          <w:rFonts w:hint="eastAsia" w:ascii="Times New Roman" w:hAnsi="Times New Roman" w:eastAsia="仿宋_GB2312" w:cs="Times New Roman"/>
          <w:kern w:val="2"/>
          <w:sz w:val="32"/>
          <w:szCs w:val="32"/>
          <w:lang w:eastAsia="zh-CN"/>
        </w:rPr>
      </w:pPr>
      <w:r>
        <w:rPr>
          <w:rFonts w:ascii="Times New Roman" w:eastAsia="仿宋_GB2312"/>
          <w:b w:val="0"/>
          <w:sz w:val="32"/>
          <w:szCs w:val="32"/>
        </w:rPr>
        <w:t>本单位2024年度收、支总计（含结转和结余）为9,097.91万元。与2023年度决算相比，减少721.59万元，</w:t>
      </w:r>
      <w:r>
        <w:rPr>
          <w:rFonts w:hint="eastAsia" w:ascii="Times New Roman" w:eastAsia="仿宋_GB2312"/>
          <w:b w:val="0"/>
          <w:sz w:val="32"/>
          <w:szCs w:val="32"/>
          <w:lang w:val="en-US" w:eastAsia="zh-CN"/>
        </w:rPr>
        <w:t>减少了</w:t>
      </w:r>
      <w:r>
        <w:rPr>
          <w:rFonts w:ascii="Times New Roman" w:eastAsia="仿宋_GB2312"/>
          <w:b w:val="0"/>
          <w:sz w:val="32"/>
          <w:szCs w:val="32"/>
        </w:rPr>
        <w:t>7.3%，主要原因是</w:t>
      </w:r>
      <w:r>
        <w:rPr>
          <w:rFonts w:hint="eastAsia" w:ascii="Times New Roman" w:hAnsi="Times New Roman" w:eastAsia="仿宋_GB2312" w:cs="Times New Roman"/>
          <w:kern w:val="2"/>
          <w:sz w:val="32"/>
          <w:szCs w:val="32"/>
          <w:lang w:eastAsia="zh-CN"/>
        </w:rPr>
        <w:t>卫生材料资金支出减少。</w:t>
      </w:r>
    </w:p>
    <w:p>
      <w:pPr>
        <w:autoSpaceDE w:val="0"/>
        <w:autoSpaceDN w:val="0"/>
        <w:adjustRightInd w:val="0"/>
        <w:spacing w:line="580" w:lineRule="exact"/>
        <w:ind w:firstLine="480" w:firstLineChars="200"/>
        <w:jc w:val="left"/>
        <w:rPr>
          <w:rFonts w:ascii="Times New Roman" w:eastAsia="黑体"/>
          <w:b w:val="0"/>
          <w:sz w:val="32"/>
          <w:szCs w:val="32"/>
        </w:rPr>
      </w:pPr>
      <w:r>
        <w:rPr>
          <w:rFonts w:hint="eastAsia" w:ascii="Times New Roman" w:hAnsi="Times New Roman" w:eastAsia="宋体"/>
        </w:rPr>
        <w:drawing>
          <wp:anchor distT="0" distB="0" distL="114300" distR="114300" simplePos="0" relativeHeight="251662336" behindDoc="0" locked="0" layoutInCell="1" allowOverlap="1">
            <wp:simplePos x="0" y="0"/>
            <wp:positionH relativeFrom="column">
              <wp:posOffset>318135</wp:posOffset>
            </wp:positionH>
            <wp:positionV relativeFrom="paragraph">
              <wp:posOffset>217805</wp:posOffset>
            </wp:positionV>
            <wp:extent cx="5285105" cy="2882900"/>
            <wp:effectExtent l="4445" t="4445" r="6350"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autoSpaceDE w:val="0"/>
        <w:autoSpaceDN w:val="0"/>
        <w:adjustRightInd w:val="0"/>
        <w:spacing w:line="580" w:lineRule="exact"/>
        <w:ind w:firstLine="640" w:firstLineChars="200"/>
        <w:jc w:val="left"/>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本单位2024年度本年收入合计9,097.9万元，其中：财政拨款收入0万元，占0%​；上级补助收入0万元，占0%；事业收入9,094.62万元，占</w:t>
      </w:r>
      <w:r>
        <w:rPr>
          <w:rFonts w:hint="eastAsia" w:ascii="Times New Roman" w:eastAsia="仿宋_GB2312"/>
          <w:b w:val="0"/>
          <w:sz w:val="32"/>
          <w:szCs w:val="32"/>
          <w:lang w:val="en-US" w:eastAsia="zh-CN"/>
        </w:rPr>
        <w:t>99.96</w:t>
      </w:r>
      <w:r>
        <w:rPr>
          <w:rFonts w:ascii="Times New Roman" w:eastAsia="仿宋_GB2312"/>
          <w:b w:val="0"/>
          <w:sz w:val="32"/>
          <w:szCs w:val="32"/>
        </w:rPr>
        <w:t>%；经营收入0万元，占0%；附属单位上缴收入0万元，占0%；其他收入3.28万元，占</w:t>
      </w:r>
      <w:r>
        <w:rPr>
          <w:rFonts w:hint="eastAsia" w:ascii="Times New Roman" w:eastAsia="仿宋_GB2312"/>
          <w:b w:val="0"/>
          <w:sz w:val="32"/>
          <w:szCs w:val="32"/>
          <w:lang w:val="en-US" w:eastAsia="zh-CN"/>
        </w:rPr>
        <w:t>0.04</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本单位2024年度本年支出合计8,425.4万元，其中：基本支出8,425.4万元，占100%；项目支出0万元，占0%；上缴上级支出0万元，占0%；经营支出0万元，占0%；对附属单位补助支出0万元，占0%。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w:t>
      </w:r>
      <w:r>
        <w:rPr>
          <w:rFonts w:hint="eastAsia" w:ascii="Times New Roman" w:eastAsia="仿宋_GB2312"/>
          <w:b w:val="0"/>
          <w:sz w:val="32"/>
          <w:szCs w:val="32"/>
          <w:lang w:eastAsia="zh-CN"/>
        </w:rPr>
        <w:t>入</w:t>
      </w:r>
      <w:r>
        <w:rPr>
          <w:rFonts w:ascii="Times New Roman" w:eastAsia="仿宋_GB2312"/>
          <w:b w:val="0"/>
          <w:sz w:val="32"/>
          <w:szCs w:val="32"/>
        </w:rPr>
        <w:t>与2023年度相比，财政拨款收支减少44.89万元，降低100.0%，</w:t>
      </w:r>
      <w:r>
        <w:rPr>
          <w:rFonts w:ascii="Times New Roman" w:eastAsia="仿宋_GB2312"/>
          <w:b w:val="0"/>
          <w:color w:val="auto"/>
          <w:sz w:val="32"/>
          <w:szCs w:val="32"/>
        </w:rPr>
        <w:t>主要原因是</w:t>
      </w:r>
      <w:r>
        <w:rPr>
          <w:rFonts w:hint="eastAsia" w:ascii="Times New Roman" w:eastAsia="仿宋_GB2312"/>
          <w:b w:val="0"/>
          <w:color w:val="auto"/>
          <w:sz w:val="32"/>
          <w:szCs w:val="32"/>
          <w:lang w:val="en-US" w:eastAsia="zh-CN"/>
        </w:rPr>
        <w:t>2023年拨付我单位新冠疫情防控一线人员工作补助44.89万元，2024年</w:t>
      </w:r>
      <w:r>
        <w:rPr>
          <w:rFonts w:ascii="Times New Roman" w:eastAsia="仿宋_GB2312"/>
          <w:b w:val="0"/>
          <w:sz w:val="32"/>
          <w:szCs w:val="32"/>
        </w:rPr>
        <w:t>财政拨款</w:t>
      </w:r>
      <w:r>
        <w:rPr>
          <w:rFonts w:hint="eastAsia" w:ascii="Times New Roman" w:eastAsia="仿宋_GB2312"/>
          <w:b w:val="0"/>
          <w:sz w:val="32"/>
          <w:szCs w:val="32"/>
          <w:lang w:eastAsia="zh-CN"/>
        </w:rPr>
        <w:t>为</w:t>
      </w:r>
      <w:r>
        <w:rPr>
          <w:rFonts w:hint="eastAsia" w:ascii="Times New Roman" w:eastAsia="仿宋_GB2312"/>
          <w:b w:val="0"/>
          <w:sz w:val="32"/>
          <w:szCs w:val="32"/>
          <w:lang w:val="en-US" w:eastAsia="zh-CN"/>
        </w:rPr>
        <w:t>0万元。</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rPr>
          <w:rFonts w:hint="eastAsia" w:ascii="仿宋_GB2312" w:hAnsi="仿宋_GB2312" w:eastAsia="仿宋_GB2312" w:cs="仿宋_GB2312"/>
          <w:sz w:val="32"/>
          <w:szCs w:val="32"/>
          <w:lang w:eastAsia="zh-CN"/>
        </w:rPr>
      </w:pPr>
      <w:r>
        <w:rPr>
          <w:rFonts w:hint="eastAsia" w:ascii="Times New Roman" w:eastAsia="仿宋_GB2312"/>
          <w:b w:val="0"/>
          <w:sz w:val="32"/>
          <w:szCs w:val="32"/>
          <w:lang w:val="en-US" w:eastAsia="zh-CN"/>
        </w:rPr>
        <w:t>1</w:t>
      </w:r>
      <w:r>
        <w:rPr>
          <w:rFonts w:ascii="Times New Roman" w:eastAsia="仿宋_GB2312"/>
          <w:b w:val="0"/>
          <w:sz w:val="32"/>
          <w:szCs w:val="32"/>
        </w:rPr>
        <w:t xml:space="preserve">. </w:t>
      </w:r>
      <w:r>
        <w:rPr>
          <w:rFonts w:hint="eastAsia" w:ascii="仿宋_GB2312" w:hAnsi="仿宋_GB2312" w:eastAsia="仿宋_GB2312" w:cs="仿宋_GB2312"/>
          <w:sz w:val="32"/>
          <w:szCs w:val="32"/>
        </w:rPr>
        <w:t>我单位是自收自支公益二类的事业单位，202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年没有政府性基金预算财政拨款本年收入</w:t>
      </w:r>
      <w:r>
        <w:rPr>
          <w:rFonts w:hint="eastAsia" w:ascii="仿宋_GB2312" w:hAnsi="仿宋_GB2312" w:eastAsia="仿宋_GB2312" w:cs="仿宋_GB2312"/>
          <w:sz w:val="32"/>
          <w:szCs w:val="32"/>
          <w:lang w:eastAsia="zh-CN"/>
        </w:rPr>
        <w:t>与支出。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Times New Roman" w:eastAsia="仿宋_GB2312"/>
          <w:b w:val="0"/>
          <w:sz w:val="32"/>
          <w:szCs w:val="32"/>
          <w:lang w:val="en-US" w:eastAsia="zh-CN"/>
        </w:rPr>
        <w:t>2</w:t>
      </w:r>
      <w:r>
        <w:rPr>
          <w:rFonts w:ascii="Times New Roman" w:eastAsia="仿宋_GB2312"/>
          <w:b w:val="0"/>
          <w:sz w:val="32"/>
          <w:szCs w:val="32"/>
        </w:rPr>
        <w:t xml:space="preserve">. </w:t>
      </w:r>
      <w:r>
        <w:rPr>
          <w:rFonts w:hint="eastAsia" w:ascii="仿宋_GB2312" w:hAnsi="仿宋_GB2312" w:eastAsia="仿宋_GB2312" w:cs="仿宋_GB2312"/>
          <w:sz w:val="32"/>
          <w:szCs w:val="32"/>
        </w:rPr>
        <w:t>我单位是自收自支公益二类的事业单位，202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年没有国有资本经营预算财政拨款本年收</w:t>
      </w:r>
      <w:r>
        <w:rPr>
          <w:rFonts w:hint="eastAsia" w:ascii="仿宋_GB2312" w:hAnsi="仿宋_GB2312" w:eastAsia="仿宋_GB2312" w:cs="仿宋_GB2312"/>
          <w:sz w:val="32"/>
          <w:szCs w:val="32"/>
          <w:lang w:eastAsia="zh-CN"/>
        </w:rPr>
        <w:t>入与支出。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hint="default" w:ascii="Times New Roman" w:hAnsi="Times New Roman" w:eastAsia="仿宋_GB2312" w:cs="Times New Roman"/>
          <w:color w:val="auto"/>
          <w:kern w:val="0"/>
          <w:sz w:val="32"/>
          <w:szCs w:val="32"/>
          <w:highlight w:val="none"/>
          <w:lang w:val="en-US" w:eastAsia="zh-CN" w:bidi="ar-SA"/>
        </w:rPr>
      </w:pPr>
      <w:r>
        <w:rPr>
          <w:rFonts w:ascii="Times New Roman" w:eastAsia="仿宋_GB2312"/>
          <w:b w:val="0"/>
          <w:sz w:val="32"/>
          <w:szCs w:val="32"/>
        </w:rPr>
        <w:t>本单位2024年度财政拨款本年收入0万元，完成年初预算的0.0%，比年初预算减少</w:t>
      </w:r>
      <w:r>
        <w:rPr>
          <w:rFonts w:hint="eastAsia" w:ascii="Times New Roman" w:eastAsia="仿宋_GB2312"/>
          <w:b w:val="0"/>
          <w:sz w:val="32"/>
          <w:szCs w:val="32"/>
          <w:lang w:val="en-US" w:eastAsia="zh-CN"/>
        </w:rPr>
        <w:t>320</w:t>
      </w:r>
      <w:r>
        <w:rPr>
          <w:rFonts w:ascii="Times New Roman" w:eastAsia="仿宋_GB2312"/>
          <w:b w:val="0"/>
          <w:sz w:val="32"/>
          <w:szCs w:val="32"/>
        </w:rPr>
        <w:t>万元，决算数小于预算数</w:t>
      </w:r>
      <w:r>
        <w:rPr>
          <w:rFonts w:ascii="Times New Roman" w:eastAsia="仿宋_GB2312"/>
          <w:b w:val="0"/>
          <w:color w:val="auto"/>
          <w:sz w:val="32"/>
          <w:szCs w:val="32"/>
        </w:rPr>
        <w:t>主要原因</w:t>
      </w:r>
      <w:r>
        <w:rPr>
          <w:rFonts w:ascii="Times New Roman" w:eastAsia="仿宋_GB2312"/>
          <w:b w:val="0"/>
          <w:sz w:val="32"/>
          <w:szCs w:val="32"/>
        </w:rPr>
        <w:t>是</w:t>
      </w:r>
      <w:r>
        <w:rPr>
          <w:rFonts w:hint="eastAsia" w:ascii="Times New Roman" w:eastAsia="仿宋_GB2312"/>
          <w:b w:val="0"/>
          <w:sz w:val="32"/>
          <w:szCs w:val="32"/>
          <w:lang w:eastAsia="zh-CN"/>
        </w:rPr>
        <w:t>：</w:t>
      </w:r>
      <w:r>
        <w:rPr>
          <w:rFonts w:hint="eastAsia" w:ascii="Times New Roman" w:hAnsi="Times New Roman" w:eastAsia="仿宋_GB2312" w:cs="Times New Roman"/>
          <w:kern w:val="2"/>
          <w:sz w:val="32"/>
          <w:szCs w:val="32"/>
          <w:lang w:val="zh-CN"/>
        </w:rPr>
        <w:t>预算数中的</w:t>
      </w:r>
      <w:r>
        <w:rPr>
          <w:rFonts w:hint="eastAsia" w:ascii="Times New Roman" w:hAnsi="Times New Roman" w:eastAsia="仿宋_GB2312" w:cs="Times New Roman"/>
          <w:kern w:val="2"/>
          <w:sz w:val="32"/>
          <w:szCs w:val="32"/>
          <w:lang w:val="en-US" w:eastAsia="zh-CN"/>
        </w:rPr>
        <w:t>2024年重大公卫专项资金320万元，财政未拨付</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hint="default" w:ascii="Times New Roman" w:hAnsi="Times New Roman" w:eastAsia="仿宋_GB2312" w:cs="Times New Roman"/>
          <w:color w:val="auto"/>
          <w:kern w:val="2"/>
          <w:sz w:val="32"/>
          <w:szCs w:val="32"/>
          <w:lang w:val="zh-CN" w:eastAsia="zh-CN" w:bidi="ar-SA"/>
        </w:rPr>
      </w:pPr>
      <w:r>
        <w:rPr>
          <w:rFonts w:ascii="Times New Roman" w:eastAsia="仿宋_GB2312"/>
          <w:b w:val="0"/>
          <w:sz w:val="32"/>
          <w:szCs w:val="32"/>
        </w:rPr>
        <w:t>2024年度财政拨款支出0万元</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hint="eastAsia" w:ascii="仿宋_GB2312" w:hAnsi="仿宋_GB2312" w:eastAsia="仿宋_GB2312" w:cs="仿宋_GB2312"/>
          <w:sz w:val="32"/>
          <w:szCs w:val="32"/>
        </w:rPr>
        <w:t>我单位是自收自支的事业单位，</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没有财政拨款基本支</w:t>
      </w:r>
      <w:r>
        <w:rPr>
          <w:rFonts w:hint="eastAsia" w:ascii="仿宋_GB2312" w:hAnsi="仿宋_GB2312" w:eastAsia="仿宋_GB2312" w:cs="仿宋_GB2312"/>
          <w:sz w:val="32"/>
          <w:szCs w:val="32"/>
          <w:lang w:eastAsia="zh-CN"/>
        </w:rPr>
        <w:t>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本单位2024年度“三公”经费财政拨款支出预算为0万元，</w:t>
      </w:r>
      <w:r>
        <w:rPr>
          <w:rFonts w:ascii="Times New Roman" w:hAnsi="Times New Roman" w:eastAsia="仿宋_GB2312" w:cs="Times New Roman"/>
          <w:color w:val="333333"/>
          <w:sz w:val="33"/>
          <w:szCs w:val="33"/>
          <w:shd w:val="clear" w:color="auto" w:fill="FFFFFF"/>
        </w:rPr>
        <w:t> </w:t>
      </w:r>
      <w:r>
        <w:rPr>
          <w:rFonts w:hint="eastAsia" w:ascii="仿宋_GB2312" w:hAnsi="仿宋_GB2312" w:eastAsia="仿宋_GB2312" w:cs="仿宋_GB2312"/>
          <w:sz w:val="32"/>
          <w:szCs w:val="32"/>
        </w:rPr>
        <w:t>我单位是自收自支公益二类的事业单位，没有“三公”经费财政拨款支出</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楷体_GB2312"/>
          <w:b/>
          <w:sz w:val="32"/>
          <w:szCs w:val="32"/>
        </w:rPr>
      </w:pPr>
      <w:r>
        <w:rPr>
          <w:rFonts w:ascii="Times New Roman" w:eastAsia="楷体_GB2312"/>
          <w:b/>
          <w:sz w:val="32"/>
          <w:szCs w:val="32"/>
        </w:rPr>
        <w:t>1.</w:t>
      </w:r>
      <w:r>
        <w:rPr>
          <w:rFonts w:hint="eastAsia" w:ascii="Times New Roman" w:eastAsia="楷体_GB2312"/>
          <w:b/>
          <w:sz w:val="32"/>
          <w:szCs w:val="32"/>
          <w:lang w:val="en-US" w:eastAsia="zh-CN"/>
        </w:rPr>
        <w:t xml:space="preserve"> </w:t>
      </w:r>
      <w:r>
        <w:rPr>
          <w:rFonts w:ascii="Times New Roman" w:eastAsia="楷体_GB2312"/>
          <w:b/>
          <w:sz w:val="32"/>
          <w:szCs w:val="32"/>
        </w:rPr>
        <w:t>因公出国（境）费支出情况。</w:t>
      </w:r>
    </w:p>
    <w:p>
      <w:pPr>
        <w:widowControl/>
        <w:spacing w:before="0" w:beforeLines="0" w:beforeAutospacing="0" w:after="0" w:afterLines="0" w:afterAutospacing="0" w:line="360" w:lineRule="auto"/>
        <w:ind w:firstLine="640" w:firstLineChars="200"/>
        <w:jc w:val="left"/>
        <w:rPr>
          <w:rFonts w:hint="eastAsia" w:ascii="Times New Roman" w:eastAsia="仿宋_GB2312"/>
          <w:b/>
          <w:sz w:val="32"/>
          <w:szCs w:val="32"/>
          <w:lang w:eastAsia="zh-CN"/>
        </w:rPr>
      </w:pPr>
      <w:r>
        <w:rPr>
          <w:rFonts w:hint="eastAsia" w:ascii="仿宋_GB2312" w:hAnsi="仿宋_GB2312" w:eastAsia="仿宋_GB2312" w:cs="仿宋_GB2312"/>
          <w:sz w:val="32"/>
          <w:szCs w:val="32"/>
        </w:rPr>
        <w:t>我单位是自收自支公益二类的事业单位，无“因公出国（境）费”经费财政拨款支出，与预算持平，与202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年度决算支出持平</w:t>
      </w:r>
      <w:r>
        <w:rPr>
          <w:rFonts w:hint="eastAsia" w:ascii="仿宋_GB2312" w:hAnsi="仿宋_GB2312" w:eastAsia="仿宋_GB2312" w:cs="仿宋_GB2312"/>
          <w:sz w:val="32"/>
          <w:szCs w:val="32"/>
          <w:lang w:eastAsia="zh-CN"/>
        </w:rPr>
        <w:t>。</w:t>
      </w:r>
    </w:p>
    <w:p>
      <w:pPr>
        <w:widowControl/>
        <w:numPr>
          <w:ilvl w:val="0"/>
          <w:numId w:val="2"/>
        </w:numPr>
        <w:spacing w:before="0" w:beforeLines="0" w:beforeAutospacing="0" w:after="0" w:afterLines="0" w:afterAutospacing="0" w:line="360" w:lineRule="auto"/>
        <w:ind w:left="640" w:leftChars="0" w:firstLine="0" w:firstLineChars="0"/>
        <w:jc w:val="left"/>
        <w:rPr>
          <w:rFonts w:ascii="Times New Roman" w:eastAsia="楷体_GB2312"/>
          <w:b/>
          <w:sz w:val="32"/>
          <w:szCs w:val="32"/>
        </w:rPr>
      </w:pPr>
      <w:r>
        <w:rPr>
          <w:rFonts w:ascii="Times New Roman" w:eastAsia="楷体_GB2312"/>
          <w:b/>
          <w:sz w:val="32"/>
          <w:szCs w:val="32"/>
        </w:rPr>
        <w:t>公务用车购置及运行维护费支出情况。</w:t>
      </w:r>
    </w:p>
    <w:p>
      <w:pPr>
        <w:widowControl/>
        <w:numPr>
          <w:ilvl w:val="0"/>
          <w:numId w:val="0"/>
        </w:numPr>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年本单位无公务用车购置及运行维护费用财政拨款支出，与预算持平，与202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年度决算支出持平。</w:t>
      </w:r>
    </w:p>
    <w:p>
      <w:pPr>
        <w:widowControl/>
        <w:spacing w:before="0" w:beforeLines="0" w:beforeAutospacing="0" w:after="0" w:afterLines="0" w:afterAutospacing="0" w:line="360" w:lineRule="auto"/>
        <w:ind w:firstLine="643" w:firstLineChars="200"/>
        <w:jc w:val="left"/>
        <w:rPr>
          <w:rFonts w:hint="eastAsia" w:ascii="Times New Roman" w:eastAsia="仿宋_GB2312"/>
          <w:b/>
          <w:sz w:val="32"/>
          <w:szCs w:val="32"/>
          <w:lang w:val="en-US" w:eastAsia="zh-CN"/>
        </w:rPr>
      </w:pPr>
      <w:r>
        <w:rPr>
          <w:rFonts w:ascii="Times New Roman" w:eastAsia="仿宋_GB2312"/>
          <w:b/>
          <w:sz w:val="32"/>
          <w:szCs w:val="32"/>
        </w:rPr>
        <w:t>公务用车购置费支出</w:t>
      </w:r>
      <w:r>
        <w:rPr>
          <w:rFonts w:hint="eastAsia" w:ascii="Times New Roman" w:eastAsia="仿宋_GB2312"/>
          <w:b/>
          <w:sz w:val="32"/>
          <w:szCs w:val="32"/>
          <w:lang w:val="en-US" w:eastAsia="zh-CN"/>
        </w:rPr>
        <w:t>0万元</w:t>
      </w:r>
    </w:p>
    <w:p>
      <w:pPr>
        <w:adjustRightInd w:val="0"/>
        <w:snapToGrid w:val="0"/>
        <w:spacing w:line="580" w:lineRule="exact"/>
        <w:ind w:firstLine="640"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bCs/>
          <w:sz w:val="32"/>
          <w:szCs w:val="32"/>
        </w:rPr>
        <w:t>本单位无公务用车购置费支出，</w:t>
      </w:r>
      <w:r>
        <w:rPr>
          <w:rFonts w:hint="eastAsia" w:ascii="仿宋_GB2312" w:hAnsi="仿宋_GB2312" w:eastAsia="仿宋_GB2312" w:cs="仿宋_GB2312"/>
          <w:bCs/>
          <w:color w:val="000000" w:themeColor="text1"/>
          <w:sz w:val="32"/>
          <w:szCs w:val="32"/>
          <w14:textFill>
            <w14:solidFill>
              <w14:schemeClr w14:val="tx1"/>
            </w14:solidFill>
          </w14:textFill>
        </w:rPr>
        <w:t>公务用车为0辆，其他车辆为采血用车，</w:t>
      </w:r>
      <w:r>
        <w:rPr>
          <w:rFonts w:hint="eastAsia" w:ascii="仿宋_GB2312" w:hAnsi="仿宋_GB2312" w:eastAsia="仿宋_GB2312" w:cs="仿宋_GB2312"/>
          <w:sz w:val="32"/>
          <w:szCs w:val="32"/>
        </w:rPr>
        <w:t>与预算持平，与202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公务用车运行维护费支出0万元</w:t>
      </w:r>
    </w:p>
    <w:p>
      <w:pPr>
        <w:widowControl/>
        <w:spacing w:before="0" w:beforeLines="0" w:beforeAutospacing="0" w:after="0" w:afterLines="0" w:afterAutospacing="0" w:line="360" w:lineRule="auto"/>
        <w:ind w:firstLine="640" w:firstLineChars="200"/>
        <w:jc w:val="left"/>
        <w:rPr>
          <w:rFonts w:ascii="Times New Roman" w:eastAsia="仿宋_GB2312"/>
          <w:b/>
          <w:sz w:val="32"/>
          <w:szCs w:val="32"/>
        </w:rPr>
      </w:pPr>
      <w:r>
        <w:rPr>
          <w:rFonts w:hint="eastAsia" w:ascii="仿宋_GB2312" w:hAnsi="仿宋_GB2312" w:eastAsia="仿宋_GB2312" w:cs="仿宋_GB2312"/>
          <w:bCs/>
          <w:sz w:val="32"/>
          <w:szCs w:val="32"/>
        </w:rPr>
        <w:t>本单位2023年度单位公务用车保有量0辆，无公务用车运行维护费支出，</w:t>
      </w:r>
      <w:r>
        <w:rPr>
          <w:rFonts w:hint="eastAsia" w:ascii="仿宋_GB2312" w:hAnsi="仿宋_GB2312" w:eastAsia="仿宋_GB2312" w:cs="仿宋_GB2312"/>
          <w:sz w:val="32"/>
          <w:szCs w:val="32"/>
        </w:rPr>
        <w:t>与预算持平，与202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年度决算支出持平。</w:t>
      </w:r>
    </w:p>
    <w:p>
      <w:pPr>
        <w:widowControl/>
        <w:numPr>
          <w:ilvl w:val="0"/>
          <w:numId w:val="3"/>
        </w:numPr>
        <w:spacing w:before="0" w:beforeLines="0" w:beforeAutospacing="0" w:after="0" w:afterLines="0" w:afterAutospacing="0" w:line="360" w:lineRule="auto"/>
        <w:ind w:left="0" w:leftChars="0" w:firstLine="643" w:firstLineChars="200"/>
        <w:jc w:val="left"/>
        <w:rPr>
          <w:rFonts w:ascii="Times New Roman" w:eastAsia="楷体_GB2312"/>
          <w:b/>
          <w:sz w:val="32"/>
          <w:szCs w:val="32"/>
        </w:rPr>
      </w:pPr>
      <w:r>
        <w:rPr>
          <w:rFonts w:ascii="Times New Roman" w:eastAsia="楷体_GB2312"/>
          <w:b/>
          <w:sz w:val="32"/>
          <w:szCs w:val="32"/>
        </w:rPr>
        <w:t>公务接待费支出情况。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本单位无“公务接待费”财政拨款支出，</w:t>
      </w:r>
      <w:r>
        <w:rPr>
          <w:rFonts w:hint="eastAsia" w:ascii="仿宋_GB2312" w:hAnsi="仿宋_GB2312" w:eastAsia="仿宋_GB2312" w:cs="仿宋_GB2312"/>
          <w:sz w:val="32"/>
          <w:szCs w:val="32"/>
        </w:rPr>
        <w:t>与预算持平，与202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年度决算支出持平。</w:t>
      </w:r>
    </w:p>
    <w:p>
      <w:pPr>
        <w:widowControl/>
        <w:numPr>
          <w:ilvl w:val="0"/>
          <w:numId w:val="4"/>
        </w:numPr>
        <w:spacing w:before="0" w:beforeLines="0" w:beforeAutospacing="0" w:after="0" w:afterLines="0" w:afterAutospacing="0" w:line="360" w:lineRule="auto"/>
        <w:ind w:firstLine="640" w:firstLineChars="200"/>
        <w:jc w:val="left"/>
        <w:outlineLvl w:val="1"/>
        <w:rPr>
          <w:rFonts w:ascii="Times New Roman" w:eastAsia="黑体"/>
          <w:b w:val="0"/>
          <w:sz w:val="32"/>
          <w:szCs w:val="32"/>
        </w:rPr>
      </w:pPr>
      <w:r>
        <w:rPr>
          <w:rFonts w:ascii="Times New Roman" w:eastAsia="黑体"/>
          <w:b w:val="0"/>
          <w:sz w:val="32"/>
          <w:szCs w:val="32"/>
        </w:rPr>
        <w:t>机关运行经费支出说明</w:t>
      </w:r>
    </w:p>
    <w:p>
      <w:pPr>
        <w:widowControl/>
        <w:numPr>
          <w:ilvl w:val="0"/>
          <w:numId w:val="0"/>
        </w:numPr>
        <w:spacing w:before="0" w:beforeLines="0" w:beforeAutospacing="0" w:after="0" w:afterLines="0" w:afterAutospacing="0" w:line="360" w:lineRule="auto"/>
        <w:ind w:firstLine="640" w:firstLineChars="200"/>
        <w:jc w:val="left"/>
        <w:outlineLvl w:val="1"/>
        <w:rPr>
          <w:rFonts w:ascii="Times New Roman" w:eastAsia="黑体"/>
          <w:b w:val="0"/>
          <w:sz w:val="32"/>
          <w:szCs w:val="32"/>
        </w:rPr>
      </w:pPr>
      <w:r>
        <w:rPr>
          <w:rFonts w:hint="eastAsia" w:ascii="仿宋_GB2312" w:hAnsi="仿宋_GB2312" w:eastAsia="仿宋_GB2312" w:cs="仿宋_GB2312"/>
          <w:sz w:val="32"/>
          <w:szCs w:val="32"/>
        </w:rPr>
        <w:t>我单位性质为事业单位，2023年无机关运行经费支出。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本单位2024年度政府采购支出总额1,101.90万元，从采购类型来看，政府采购货物支出1,101.90万元、政府采购工程支出0万元、政府采购服务支出0万元。授予中小企业合同金额</w:t>
      </w:r>
      <w:r>
        <w:rPr>
          <w:rFonts w:hint="eastAsia" w:ascii="Times New Roman" w:eastAsia="仿宋_GB2312"/>
          <w:b w:val="0"/>
          <w:sz w:val="32"/>
          <w:szCs w:val="32"/>
          <w:lang w:val="en-US" w:eastAsia="zh-CN"/>
        </w:rPr>
        <w:t>661</w:t>
      </w:r>
      <w:r>
        <w:rPr>
          <w:rFonts w:ascii="Times New Roman" w:eastAsia="仿宋_GB2312"/>
          <w:b w:val="0"/>
          <w:sz w:val="32"/>
          <w:szCs w:val="32"/>
        </w:rPr>
        <w:t>万元，占政府采购支出总额的</w:t>
      </w:r>
      <w:r>
        <w:rPr>
          <w:rFonts w:hint="eastAsia" w:ascii="Times New Roman" w:eastAsia="仿宋_GB2312"/>
          <w:b w:val="0"/>
          <w:sz w:val="32"/>
          <w:szCs w:val="32"/>
          <w:lang w:val="en-US" w:eastAsia="zh-CN"/>
        </w:rPr>
        <w:t>60</w:t>
      </w:r>
      <w:r>
        <w:rPr>
          <w:rFonts w:ascii="Times New Roman" w:eastAsia="仿宋_GB2312"/>
          <w:b w:val="0"/>
          <w:sz w:val="32"/>
          <w:szCs w:val="32"/>
        </w:rPr>
        <w:t>%，其中授予小微企业合同金额</w:t>
      </w:r>
      <w:r>
        <w:rPr>
          <w:rFonts w:hint="eastAsia" w:ascii="Times New Roman" w:eastAsia="仿宋_GB2312"/>
          <w:b w:val="0"/>
          <w:color w:val="auto"/>
          <w:sz w:val="32"/>
          <w:szCs w:val="32"/>
          <w:lang w:val="en-US" w:eastAsia="zh-CN"/>
        </w:rPr>
        <w:t>397</w:t>
      </w:r>
      <w:r>
        <w:rPr>
          <w:rFonts w:ascii="Times New Roman" w:eastAsia="仿宋_GB2312"/>
          <w:b w:val="0"/>
          <w:sz w:val="32"/>
          <w:szCs w:val="32"/>
        </w:rPr>
        <w:t>万元，占政府采购支出总额的</w:t>
      </w:r>
      <w:r>
        <w:rPr>
          <w:rFonts w:hint="eastAsia" w:ascii="Times New Roman" w:eastAsia="仿宋_GB2312"/>
          <w:b w:val="0"/>
          <w:sz w:val="32"/>
          <w:szCs w:val="32"/>
          <w:lang w:val="en-US" w:eastAsia="zh-CN"/>
        </w:rPr>
        <w:t>36</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截至2024年12月31日，本单位共有车辆30辆，比上年增加2辆，</w:t>
      </w:r>
      <w:r>
        <w:rPr>
          <w:rFonts w:ascii="Times New Roman" w:eastAsia="仿宋_GB2312"/>
          <w:b w:val="0"/>
          <w:color w:val="000000" w:themeColor="text1"/>
          <w:sz w:val="32"/>
          <w:szCs w:val="32"/>
          <w14:textFill>
            <w14:solidFill>
              <w14:schemeClr w14:val="tx1"/>
            </w14:solidFill>
          </w14:textFill>
        </w:rPr>
        <w:t>主要是</w:t>
      </w:r>
      <w:r>
        <w:rPr>
          <w:rFonts w:hint="eastAsia" w:ascii="仿宋_GB2312" w:hAnsi="仿宋_GB2312" w:eastAsia="仿宋_GB2312" w:cs="仿宋_GB2312"/>
          <w:sz w:val="32"/>
          <w:szCs w:val="32"/>
        </w:rPr>
        <w:t>用于单位采供血业务的其他</w:t>
      </w:r>
      <w:r>
        <w:rPr>
          <w:rFonts w:hint="eastAsia" w:ascii="仿宋_GB2312" w:hAnsi="仿宋_GB2312" w:eastAsia="仿宋_GB2312" w:cs="仿宋_GB2312"/>
          <w:sz w:val="32"/>
          <w:szCs w:val="32"/>
          <w:lang w:eastAsia="zh-CN"/>
        </w:rPr>
        <w:t>特种</w:t>
      </w:r>
      <w:r>
        <w:rPr>
          <w:rFonts w:hint="eastAsia" w:ascii="仿宋_GB2312" w:hAnsi="仿宋_GB2312" w:eastAsia="仿宋_GB2312" w:cs="仿宋_GB2312"/>
          <w:sz w:val="32"/>
          <w:szCs w:val="32"/>
        </w:rPr>
        <w:t>车辆</w:t>
      </w:r>
      <w:r>
        <w:rPr>
          <w:rFonts w:ascii="Times New Roman" w:eastAsia="仿宋_GB2312"/>
          <w:b w:val="0"/>
          <w:sz w:val="32"/>
          <w:szCs w:val="32"/>
        </w:rPr>
        <w:t>。其中，副部（省）级及以上领导用车0辆，主要负责人用车0辆，机要通信用车0辆，应急保障用车0辆，执法执勤用车0辆，特种专业技术用车28辆，离退休干部用车0辆，其他用车2辆</w:t>
      </w:r>
      <w:r>
        <w:rPr>
          <w:rFonts w:hint="eastAsia" w:ascii="Times New Roman" w:eastAsia="仿宋_GB2312"/>
          <w:b w:val="0"/>
          <w:sz w:val="32"/>
          <w:szCs w:val="32"/>
          <w:lang w:eastAsia="zh-CN"/>
        </w:rPr>
        <w:t>。</w:t>
      </w:r>
      <w:r>
        <w:rPr>
          <w:rFonts w:ascii="Times New Roman" w:eastAsia="仿宋_GB2312"/>
          <w:b w:val="0"/>
          <w:sz w:val="32"/>
          <w:szCs w:val="32"/>
        </w:rPr>
        <w:t>单位价值100万元（含）以上设备（不含车辆）18台（套）。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根据预算绩效管理要求，本单位组织对2024年度本级预算项目支出全面开展绩效自评，共涉及资金</w:t>
      </w:r>
      <w:r>
        <w:rPr>
          <w:rFonts w:hint="eastAsia" w:ascii="Times New Roman" w:eastAsia="仿宋_GB2312"/>
          <w:b w:val="0"/>
          <w:sz w:val="32"/>
          <w:szCs w:val="32"/>
          <w:lang w:val="en-US" w:eastAsia="zh-CN"/>
        </w:rPr>
        <w:t>9097.9</w:t>
      </w:r>
      <w:r>
        <w:rPr>
          <w:rFonts w:ascii="Times New Roman" w:eastAsia="仿宋_GB2312"/>
          <w:b w:val="0"/>
          <w:sz w:val="32"/>
          <w:szCs w:val="32"/>
        </w:rPr>
        <w:t>万元（决算金额）。其中，</w:t>
      </w:r>
      <w:r>
        <w:rPr>
          <w:rFonts w:hint="eastAsia" w:ascii="Times New Roman" w:eastAsia="仿宋_GB2312"/>
          <w:b w:val="0"/>
          <w:sz w:val="32"/>
          <w:szCs w:val="32"/>
          <w:lang w:eastAsia="zh-CN"/>
        </w:rPr>
        <w:t>人员经费</w:t>
      </w:r>
      <w:r>
        <w:rPr>
          <w:rFonts w:ascii="Times New Roman" w:eastAsia="仿宋_GB2312"/>
          <w:b w:val="0"/>
          <w:sz w:val="32"/>
          <w:szCs w:val="32"/>
        </w:rPr>
        <w:t>涉及资金</w:t>
      </w:r>
      <w:r>
        <w:rPr>
          <w:rFonts w:hint="eastAsia" w:ascii="Times New Roman" w:eastAsia="仿宋_GB2312"/>
          <w:b w:val="0"/>
          <w:sz w:val="32"/>
          <w:szCs w:val="32"/>
          <w:lang w:val="en-US" w:eastAsia="zh-CN"/>
        </w:rPr>
        <w:t>4411.4</w:t>
      </w:r>
      <w:r>
        <w:rPr>
          <w:rFonts w:ascii="Times New Roman" w:eastAsia="仿宋_GB2312"/>
          <w:b w:val="0"/>
          <w:sz w:val="32"/>
          <w:szCs w:val="32"/>
        </w:rPr>
        <w:t>万元，占预算项目支出总额的</w:t>
      </w:r>
      <w:r>
        <w:rPr>
          <w:rFonts w:hint="eastAsia" w:ascii="Times New Roman" w:eastAsia="仿宋_GB2312"/>
          <w:b w:val="0"/>
          <w:sz w:val="32"/>
          <w:szCs w:val="32"/>
          <w:lang w:val="en-US" w:eastAsia="zh-CN"/>
        </w:rPr>
        <w:t>48.5</w:t>
      </w:r>
      <w:r>
        <w:rPr>
          <w:rFonts w:ascii="Times New Roman" w:eastAsia="仿宋_GB2312"/>
          <w:b w:val="0"/>
          <w:sz w:val="32"/>
          <w:szCs w:val="32"/>
        </w:rPr>
        <w:t>%；</w:t>
      </w:r>
      <w:r>
        <w:rPr>
          <w:rFonts w:hint="eastAsia" w:ascii="Times New Roman" w:eastAsia="仿宋_GB2312"/>
          <w:b w:val="0"/>
          <w:sz w:val="32"/>
          <w:szCs w:val="32"/>
          <w:lang w:eastAsia="zh-CN"/>
        </w:rPr>
        <w:t>日常公用经费</w:t>
      </w:r>
      <w:r>
        <w:rPr>
          <w:rFonts w:ascii="Times New Roman" w:eastAsia="仿宋_GB2312"/>
          <w:b w:val="0"/>
          <w:sz w:val="32"/>
          <w:szCs w:val="32"/>
        </w:rPr>
        <w:t>涉及资金</w:t>
      </w:r>
      <w:r>
        <w:rPr>
          <w:rFonts w:hint="eastAsia" w:ascii="Times New Roman" w:eastAsia="仿宋_GB2312"/>
          <w:b w:val="0"/>
          <w:sz w:val="32"/>
          <w:szCs w:val="32"/>
          <w:lang w:val="en-US" w:eastAsia="zh-CN"/>
        </w:rPr>
        <w:t>4686.5</w:t>
      </w:r>
      <w:r>
        <w:rPr>
          <w:rFonts w:ascii="Times New Roman" w:eastAsia="仿宋_GB2312"/>
          <w:b w:val="0"/>
          <w:sz w:val="32"/>
          <w:szCs w:val="32"/>
        </w:rPr>
        <w:t>万元，占预算项目支出总额的</w:t>
      </w:r>
      <w:r>
        <w:rPr>
          <w:rFonts w:hint="eastAsia" w:ascii="Times New Roman" w:eastAsia="仿宋_GB2312"/>
          <w:b w:val="0"/>
          <w:sz w:val="32"/>
          <w:szCs w:val="32"/>
          <w:lang w:val="en-US" w:eastAsia="zh-CN"/>
        </w:rPr>
        <w:t>51.5</w:t>
      </w:r>
      <w:r>
        <w:rPr>
          <w:rFonts w:ascii="Times New Roman" w:eastAsia="仿宋_GB2312"/>
          <w:b w:val="0"/>
          <w:sz w:val="32"/>
          <w:szCs w:val="32"/>
        </w:rPr>
        <w:t>%</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我单位在今年决算公开中反映重大公卫（血液安全）项目绩效自评结果。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重大公卫（血液安全）项目自评综述：根据年初设定的绩效目标，重大公卫（血液安全）项目绩效自评得分为</w:t>
      </w:r>
      <w:r>
        <w:rPr>
          <w:rFonts w:hint="eastAsia" w:ascii="仿宋_GB2312" w:hAnsi="仿宋_GB2312" w:eastAsia="仿宋_GB2312" w:cs="仿宋_GB2312"/>
          <w:color w:val="auto"/>
          <w:sz w:val="32"/>
          <w:szCs w:val="32"/>
        </w:rPr>
        <w:t>98</w:t>
      </w:r>
      <w:r>
        <w:rPr>
          <w:rFonts w:hint="eastAsia" w:ascii="仿宋_GB2312" w:hAnsi="仿宋_GB2312" w:eastAsia="仿宋_GB2312" w:cs="仿宋_GB2312"/>
          <w:sz w:val="32"/>
          <w:szCs w:val="32"/>
        </w:rPr>
        <w:t>分。项目绩效目标完成情况：一是在项目执行过程中，做好项目实施的跟踪检查工作，定期不定期的对项目实施情况和经费使用情况进行跟踪检查，确保项目实施工作正常进行，达到预期绩效目标。</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（1）产出分析。</w:t>
      </w:r>
    </w:p>
    <w:p>
      <w:pPr>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根据我站每月采集的血液量进行逐袋检测202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年全年共进</w:t>
      </w:r>
      <w:r>
        <w:rPr>
          <w:rFonts w:hint="eastAsia" w:ascii="仿宋_GB2312" w:hAnsi="仿宋_GB2312" w:eastAsia="仿宋_GB2312" w:cs="仿宋_GB2312"/>
          <w:sz w:val="32"/>
          <w:szCs w:val="32"/>
          <w:lang w:eastAsia="zh-CN"/>
        </w:rPr>
        <w:t>行核酸检测</w:t>
      </w:r>
      <w:r>
        <w:rPr>
          <w:rFonts w:hint="eastAsia" w:ascii="仿宋_GB2312" w:hAnsi="仿宋_GB2312" w:eastAsia="仿宋_GB2312" w:cs="仿宋_GB2312"/>
          <w:sz w:val="32"/>
          <w:szCs w:val="32"/>
          <w:lang w:val="en-US" w:eastAsia="zh-CN"/>
        </w:rPr>
        <w:t>108086人份，检出89人次</w:t>
      </w:r>
      <w:r>
        <w:rPr>
          <w:rFonts w:hint="eastAsia" w:ascii="仿宋_GB2312" w:hAnsi="仿宋_GB2312" w:eastAsia="仿宋_GB2312" w:cs="仿宋_GB2312"/>
          <w:sz w:val="32"/>
          <w:szCs w:val="32"/>
        </w:rPr>
        <w:t>（HBV-DNA87，HCV-RNA1,</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HIV-RNA1）</w:t>
      </w:r>
      <w:r>
        <w:rPr>
          <w:rFonts w:hint="eastAsia" w:ascii="仿宋_GB2312" w:hAnsi="仿宋_GB2312" w:eastAsia="仿宋_GB2312" w:cs="仿宋_GB2312"/>
          <w:color w:val="auto"/>
          <w:sz w:val="32"/>
          <w:szCs w:val="32"/>
        </w:rPr>
        <w:t>，进行HTLV检测28</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1人份，初检阳性</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人份，在严格</w:t>
      </w:r>
      <w:r>
        <w:rPr>
          <w:rFonts w:hint="eastAsia" w:ascii="仿宋_GB2312" w:hAnsi="仿宋_GB2312" w:eastAsia="仿宋_GB2312" w:cs="仿宋_GB2312"/>
          <w:sz w:val="32"/>
          <w:szCs w:val="32"/>
        </w:rPr>
        <w:t>进行成本核算的前提下，积极进行消耗控制，核酸检测的报告率维持在8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%以上（该报告率在我省乃至整个华北地区均位居前列）。在该项目的运行过程中进一步提高血液安全的前提下，按时完成了绩效目标。</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性分析重大公卫（血液安全）项目绩效自评综述：通过该项目的运行和今后的持续，进一步提高了血液安全，将输血感染的风险进一步降低。有效的保证了患者的输血安全，必将得到广大患者和家属的认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发现的主要问题及原因：资金拨付未到位。下一步改进措施：积极与上级部门沟通，加强支出进度。</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年无财政部门评价项目</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一般公共预算财政拨款支出决算表（公开05表）、一般公共预算财政拨款基本支出决算明细表（公开06表）、政府性基金预算财政拨款收入支出决算表（公开07表）、国有资本经营预算财政拨款支出决算表（公开08表）、财政拨款“三公”经费支出决算表（公开09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FF1BA5-5F14-4013-B490-3F9BF65E8E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405347-0492-4A44-875B-F58018510314}"/>
  </w:font>
  <w:font w:name="仿宋">
    <w:panose1 w:val="02010609060101010101"/>
    <w:charset w:val="86"/>
    <w:family w:val="modern"/>
    <w:pitch w:val="default"/>
    <w:sig w:usb0="800002BF" w:usb1="38CF7CFA" w:usb2="00000016" w:usb3="00000000" w:csb0="00040001" w:csb1="00000000"/>
    <w:embedRegular r:id="rId3" w:fontKey="{975A8507-4121-4B7F-9EA8-75B2D9DC2AA4}"/>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0" w:usb1="00000000" w:usb2="00000000" w:usb3="00000000" w:csb0="00000000" w:csb1="00000000"/>
    <w:embedRegular r:id="rId4" w:fontKey="{44E516C3-AC12-4B6D-A0A3-F99F30FEDDE2}"/>
  </w:font>
  <w:font w:name="方正小标宋_GBK">
    <w:panose1 w:val="02000000000000000000"/>
    <w:charset w:val="86"/>
    <w:family w:val="script"/>
    <w:pitch w:val="default"/>
    <w:sig w:usb0="00000000" w:usb1="00000000" w:usb2="00000000" w:usb3="00000000" w:csb0="00000000" w:csb1="00000000"/>
    <w:embedRegular r:id="rId5" w:fontKey="{922F1C71-045B-43B4-A423-235BF369C1A6}"/>
  </w:font>
  <w:font w:name="仿宋_GB2312">
    <w:panose1 w:val="02010609030101010101"/>
    <w:charset w:val="86"/>
    <w:family w:val="auto"/>
    <w:pitch w:val="default"/>
    <w:sig w:usb0="00000001" w:usb1="080E0000" w:usb2="00000000" w:usb3="00000000" w:csb0="00040000" w:csb1="00000000"/>
    <w:embedRegular r:id="rId6" w:fontKey="{D4872588-9949-4167-B7F2-5675F56E4A78}"/>
  </w:font>
  <w:font w:name="ArialUnicodeMS">
    <w:altName w:val="Malgun Gothic"/>
    <w:panose1 w:val="00000000000000000000"/>
    <w:charset w:val="81"/>
    <w:family w:val="auto"/>
    <w:pitch w:val="default"/>
    <w:sig w:usb0="00000000" w:usb1="00000000" w:usb2="00000010" w:usb3="00000000" w:csb0="00080001" w:csb1="00000000"/>
    <w:embedRegular r:id="rId7" w:fontKey="{4CB03EB4-0C35-48D6-B68A-E2C6BBD5B6BF}"/>
  </w:font>
  <w:font w:name="方正仿宋_GB2312">
    <w:altName w:val="仿宋"/>
    <w:panose1 w:val="02000000000000000000"/>
    <w:charset w:val="86"/>
    <w:family w:val="auto"/>
    <w:pitch w:val="default"/>
    <w:sig w:usb0="00000000" w:usb1="00000000" w:usb2="00000000" w:usb3="00000000" w:csb0="00000000" w:csb1="00000000"/>
    <w:embedRegular r:id="rId8" w:fontKey="{A5555C8B-E977-4251-BA10-8CD095DACC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67394"/>
    <w:multiLevelType w:val="singleLevel"/>
    <w:tmpl w:val="F7467394"/>
    <w:lvl w:ilvl="0" w:tentative="0">
      <w:start w:val="2"/>
      <w:numFmt w:val="decimal"/>
      <w:lvlText w:val="%1."/>
      <w:lvlJc w:val="left"/>
      <w:pPr>
        <w:tabs>
          <w:tab w:val="left" w:pos="312"/>
        </w:tabs>
      </w:pPr>
    </w:lvl>
  </w:abstractNum>
  <w:abstractNum w:abstractNumId="1">
    <w:nsid w:val="0DF910AC"/>
    <w:multiLevelType w:val="singleLevel"/>
    <w:tmpl w:val="0DF910AC"/>
    <w:lvl w:ilvl="0" w:tentative="0">
      <w:start w:val="6"/>
      <w:numFmt w:val="chineseCounting"/>
      <w:suff w:val="nothing"/>
      <w:lvlText w:val="%1、"/>
      <w:lvlJc w:val="left"/>
      <w:rPr>
        <w:rFonts w:hint="eastAsia"/>
      </w:rPr>
    </w:lvl>
  </w:abstractNum>
  <w:abstractNum w:abstractNumId="2">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E81548E"/>
    <w:multiLevelType w:val="singleLevel"/>
    <w:tmpl w:val="7E81548E"/>
    <w:lvl w:ilvl="0" w:tentative="0">
      <w:start w:val="2"/>
      <w:numFmt w:val="decimal"/>
      <w:suff w:val="space"/>
      <w:lvlText w:val="%1."/>
      <w:lvlJc w:val="left"/>
      <w:pPr>
        <w:ind w:left="640" w:leftChars="0" w:firstLine="0" w:firstLineChars="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784E26"/>
    <w:rsid w:val="07AC18F2"/>
    <w:rsid w:val="07B3657A"/>
    <w:rsid w:val="07C857D0"/>
    <w:rsid w:val="083F3A0A"/>
    <w:rsid w:val="08AB5AAF"/>
    <w:rsid w:val="08C62A6B"/>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4170F"/>
    <w:rsid w:val="1B9B33C7"/>
    <w:rsid w:val="1B9D7FEC"/>
    <w:rsid w:val="1BA0342A"/>
    <w:rsid w:val="1BA55461"/>
    <w:rsid w:val="1BE74496"/>
    <w:rsid w:val="1BE913A9"/>
    <w:rsid w:val="1BFE400E"/>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B4277"/>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5E8188B"/>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C95C4F"/>
    <w:rsid w:val="30E55DD3"/>
    <w:rsid w:val="30E60399"/>
    <w:rsid w:val="31356AA5"/>
    <w:rsid w:val="313E22F0"/>
    <w:rsid w:val="315C1461"/>
    <w:rsid w:val="31B0194C"/>
    <w:rsid w:val="31CE17D1"/>
    <w:rsid w:val="32270449"/>
    <w:rsid w:val="32284ABE"/>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3967DE"/>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A05EF8"/>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DC2D70"/>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421DF9"/>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B3AD9"/>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9537B"/>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5FF93253"/>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3F87CAA"/>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8D708EB"/>
    <w:rsid w:val="69257FA7"/>
    <w:rsid w:val="693F26C7"/>
    <w:rsid w:val="697E12B2"/>
    <w:rsid w:val="69C8706D"/>
    <w:rsid w:val="6A0E3FB4"/>
    <w:rsid w:val="6A292754"/>
    <w:rsid w:val="6A294811"/>
    <w:rsid w:val="6A5E3B28"/>
    <w:rsid w:val="6A6B1EBE"/>
    <w:rsid w:val="6A8F43F7"/>
    <w:rsid w:val="6AD625F3"/>
    <w:rsid w:val="6B7218BE"/>
    <w:rsid w:val="6B750BA9"/>
    <w:rsid w:val="6BB93285"/>
    <w:rsid w:val="6C0C698C"/>
    <w:rsid w:val="6C222401"/>
    <w:rsid w:val="6C56267F"/>
    <w:rsid w:val="6C826EF9"/>
    <w:rsid w:val="6CAE4C93"/>
    <w:rsid w:val="6CB14F16"/>
    <w:rsid w:val="6CC2333A"/>
    <w:rsid w:val="6CEC2069"/>
    <w:rsid w:val="6CFD6B40"/>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B444A7"/>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BB566D"/>
    <w:rsid w:val="75CE266B"/>
    <w:rsid w:val="76120141"/>
    <w:rsid w:val="768216BE"/>
    <w:rsid w:val="76C23B43"/>
    <w:rsid w:val="76FD6F97"/>
    <w:rsid w:val="770218E8"/>
    <w:rsid w:val="779469CE"/>
    <w:rsid w:val="77C875A5"/>
    <w:rsid w:val="78A27DF6"/>
    <w:rsid w:val="791622E5"/>
    <w:rsid w:val="79285B3A"/>
    <w:rsid w:val="79490B03"/>
    <w:rsid w:val="79625CA9"/>
    <w:rsid w:val="79A91196"/>
    <w:rsid w:val="7A0B32D3"/>
    <w:rsid w:val="7A9306FF"/>
    <w:rsid w:val="7AC13CD3"/>
    <w:rsid w:val="7AD82030"/>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403A6"/>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NormalCharacter"/>
    <w:semiHidden/>
    <w:qFormat/>
    <w:uiPriority w:val="0"/>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 1 ： 2023-2024年收支总计对比图（万元）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9819.5</c:v>
                </c:pt>
                <c:pt idx="1">
                  <c:v>9097.91</c:v>
                </c:pt>
              </c:numCache>
            </c:numRef>
          </c:val>
        </c:ser>
        <c:dLbls>
          <c:showLegendKey val="0"/>
          <c:showVal val="1"/>
          <c:showCatName val="0"/>
          <c:showSerName val="0"/>
          <c:showPercent val="0"/>
          <c:showBubbleSize val="0"/>
        </c:dLbls>
        <c:gapWidth val="219"/>
        <c:overlap val="-27"/>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0</c:v>
                </c:pt>
                <c:pt idx="1">
                  <c:v>0</c:v>
                </c:pt>
                <c:pt idx="2">
                  <c:v>90946176.7</c:v>
                </c:pt>
                <c:pt idx="3">
                  <c:v>0</c:v>
                </c:pt>
                <c:pt idx="4">
                  <c:v>0</c:v>
                </c:pt>
                <c:pt idx="5">
                  <c:v>32820.39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84253973.92</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44.89</c:v>
                </c:pt>
                <c:pt idx="1">
                  <c:v>44.89</c:v>
                </c:pt>
                <c:pt idx="2">
                  <c:v>44.89</c:v>
                </c:pt>
                <c:pt idx="3">
                  <c:v>44.89</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29</Pages>
  <Words>7585</Words>
  <Characters>8631</Characters>
  <Lines>86</Lines>
  <Paragraphs>24</Paragraphs>
  <TotalTime>45</TotalTime>
  <ScaleCrop>false</ScaleCrop>
  <LinksUpToDate>false</LinksUpToDate>
  <CharactersWithSpaces>9168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王伟</cp:lastModifiedBy>
  <cp:lastPrinted>2023-08-04T01:00:00Z</cp:lastPrinted>
  <dcterms:modified xsi:type="dcterms:W3CDTF">2025-09-24T07:41:26Z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eyJoZGlkIjoiYzJkMmI1ZmYxNzBhOTI4YjM5NTc5ZDlmNjlkOTdmYjgiLCJ1c2VySWQiOiIxMTk5NTAzNjIyIn0=</vt:lpwstr>
  </property>
</Properties>
</file>