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  <w:jc w:val="center"/>
        <w:rPr>
          <w:sz w:val="44"/>
          <w:szCs w:val="44"/>
          <w:rFonts w:hint="eastAsia"/>
        </w:rPr>
      </w:pPr>
      <w:r>
        <w:rPr>
          <w:sz w:val="44"/>
          <w:szCs w:val="44"/>
          <w:rFonts w:hint="eastAsia"/>
        </w:rPr>
        <w:t xml:space="preserve">邯郸市中心血站</w:t>
      </w:r>
      <w:r>
        <w:rPr>
          <w:sz w:val="44"/>
          <w:szCs w:val="44"/>
          <w:rFonts w:hint="eastAsia"/>
        </w:rPr>
      </w:r>
    </w:p>
    <w:p>
      <w:pPr>
        <w:pStyle w:val="Normal"/>
        <w:jc w:val="center"/>
        <w:rPr>
          <w:sz w:val="44"/>
          <w:szCs w:val="44"/>
          <w:rFonts w:hint="eastAsia"/>
        </w:rPr>
      </w:pPr>
      <w:r>
        <w:rPr>
          <w:sz w:val="44"/>
          <w:szCs w:val="44"/>
          <w:rFonts w:hint="eastAsia"/>
        </w:rPr>
        <w:t xml:space="preserve">固定资产报废处置公示</w:t>
      </w:r>
      <w:r>
        <w:rPr>
          <w:sz w:val="44"/>
          <w:szCs w:val="44"/>
          <w:rFonts w:hint="eastAsia"/>
        </w:rPr>
      </w:r>
    </w:p>
    <w:p>
      <w:pPr>
        <w:pStyle w:val="Normal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根据《邯郸市市级行政事业单位国有资产处置实施办法》（邯财资〔2021〕34号）、《河北省行政事业单位国有资产处置管理办法》及邯郸市财政局国有资产处置管理相关规定，我站一批固定资产报废处置事宜，已完成内部集体研究、核查鉴定及财政部门审批手续。为规范国有资产处置工作，保障处置工作公开透明，现将资产处置相关情况公示如下：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黑体" w:hAnsi="黑体" w:eastAsia="黑体" w:hint="eastAsia"/>
        </w:rPr>
      </w:pPr>
      <w:r>
        <w:rPr>
          <w:sz w:val="32"/>
          <w:szCs w:val="32"/>
          <w:rFonts w:ascii="黑体" w:hAnsi="黑体" w:eastAsia="黑体" w:hint="eastAsia"/>
        </w:rPr>
        <w:t xml:space="preserve">    一、资产处置单位</w:t>
      </w:r>
      <w:r>
        <w:rPr>
          <w:sz w:val="32"/>
          <w:szCs w:val="32"/>
          <w:rFonts w:ascii="黑体" w:hAnsi="黑体" w:eastAsia="黑体"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邯郸市中心血站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黑体" w:hAnsi="黑体" w:eastAsia="黑体" w:hint="eastAsia"/>
        </w:rPr>
      </w:pPr>
      <w:r>
        <w:rPr>
          <w:sz w:val="32"/>
          <w:szCs w:val="32"/>
          <w:rFonts w:ascii="黑体" w:hAnsi="黑体" w:eastAsia="黑体" w:hint="eastAsia"/>
        </w:rPr>
        <w:t xml:space="preserve">    二、处置资产基本情况</w:t>
      </w:r>
      <w:r>
        <w:rPr>
          <w:sz w:val="32"/>
          <w:szCs w:val="32"/>
          <w:rFonts w:ascii="黑体" w:hAnsi="黑体" w:eastAsia="黑体"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报废</w:t>
      </w:r>
      <w:r>
        <w:rPr>
          <w:sz w:val="32"/>
          <w:lang w:eastAsia="zh-CN"/>
          <w:szCs w:val="32"/>
          <w:rFonts w:ascii="仿宋_GB2312" w:hAnsi="仿宋_GB2312" w:eastAsia="仿宋_GB2312" w:hint="eastAsia"/>
        </w:rPr>
        <w:t xml:space="preserve">的</w:t>
      </w:r>
      <w:r>
        <w:rPr>
          <w:sz w:val="32"/>
          <w:szCs w:val="32"/>
          <w:rFonts w:ascii="仿宋_GB2312" w:hAnsi="仿宋_GB2312" w:eastAsia="仿宋_GB2312" w:hint="eastAsia"/>
        </w:rPr>
        <w:t xml:space="preserve">资产为我站原有专用设备、通用设备、家具用具、房屋建筑物</w:t>
      </w:r>
      <w:r>
        <w:rPr>
          <w:sz w:val="32"/>
          <w:lang w:eastAsia="zh-CN"/>
          <w:szCs w:val="32"/>
          <w:rFonts w:ascii="仿宋_GB2312" w:hAnsi="仿宋_GB2312" w:eastAsia="仿宋_GB2312" w:hint="eastAsia"/>
        </w:rPr>
        <w:t xml:space="preserve">等，</w:t>
      </w:r>
      <w:r>
        <w:rPr>
          <w:sz w:val="32"/>
          <w:szCs w:val="32"/>
          <w:rFonts w:ascii="仿宋_GB2312" w:hAnsi="仿宋_GB2312" w:eastAsia="仿宋_GB2312" w:hint="eastAsia"/>
        </w:rPr>
        <w:t xml:space="preserve">资产原值合计</w:t>
      </w:r>
      <w:r>
        <w:rPr>
          <w:sz w:val="32"/>
          <w:lang w:val="en-US" w:eastAsia="zh-CN"/>
          <w:szCs w:val="32"/>
          <w:rFonts w:ascii="仿宋_GB2312" w:hAnsi="仿宋_GB2312" w:eastAsia="仿宋_GB2312" w:hint="eastAsia"/>
        </w:rPr>
        <w:t xml:space="preserve">12763524.45</w:t>
      </w:r>
      <w:r>
        <w:rPr>
          <w:sz w:val="32"/>
          <w:szCs w:val="32"/>
          <w:rFonts w:ascii="仿宋_GB2312" w:hAnsi="仿宋_GB2312" w:eastAsia="仿宋_GB2312" w:hint="eastAsia"/>
        </w:rPr>
        <w:t xml:space="preserve">元。该批资产因使用年限较长，经常性出现故障，经鉴定已无修复价值，无法满足日常业务工作需要，经专业核查鉴定符合固定资产报废条件。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黑体" w:hAnsi="黑体" w:eastAsia="黑体" w:hint="eastAsia"/>
        </w:rPr>
      </w:pPr>
      <w:r>
        <w:rPr>
          <w:sz w:val="32"/>
          <w:szCs w:val="32"/>
          <w:rFonts w:ascii="黑体" w:hAnsi="黑体" w:eastAsia="黑体" w:hint="eastAsia"/>
        </w:rPr>
        <w:t xml:space="preserve">    三、处置审批依据</w:t>
      </w:r>
      <w:r>
        <w:rPr>
          <w:sz w:val="32"/>
          <w:szCs w:val="32"/>
          <w:rFonts w:ascii="黑体" w:hAnsi="黑体" w:eastAsia="黑体"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本次资产报废处置已报请主管部门及邯郸市财政局审核同意，取得财政资产处置批复，处置程序合规、手续齐全。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黑体" w:hAnsi="黑体" w:eastAsia="黑体" w:hint="eastAsia"/>
        </w:rPr>
      </w:pPr>
      <w:r>
        <w:rPr>
          <w:sz w:val="32"/>
          <w:szCs w:val="32"/>
          <w:rFonts w:ascii="黑体" w:hAnsi="黑体" w:eastAsia="黑体" w:hint="eastAsia"/>
        </w:rPr>
        <w:t xml:space="preserve">    四、资产处置方式</w:t>
      </w:r>
      <w:r>
        <w:rPr>
          <w:sz w:val="32"/>
          <w:szCs w:val="32"/>
          <w:rFonts w:ascii="黑体" w:hAnsi="黑体" w:eastAsia="黑体"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严格按照邯郸市国有资产处置管理要求，本次报废固定资产采取公开处置或合规回收方式处理。处置残值收入严格执行收支两条线管理规定，全额上缴财政，统一纳入国库管理。资产拆卸、清运、场地清理及作业安全等全部事宜由受让方负责，相关费用自行承担。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黑体" w:hAnsi="黑体" w:eastAsia="黑体" w:hint="eastAsia"/>
        </w:rPr>
      </w:pPr>
      <w:r>
        <w:rPr>
          <w:sz w:val="32"/>
          <w:szCs w:val="32"/>
          <w:rFonts w:ascii="黑体" w:hAnsi="黑体" w:eastAsia="黑体" w:hint="eastAsia"/>
        </w:rPr>
        <w:t xml:space="preserve">五、公示期限</w:t>
      </w:r>
      <w:r>
        <w:rPr>
          <w:sz w:val="32"/>
          <w:szCs w:val="32"/>
          <w:rFonts w:ascii="黑体" w:hAnsi="黑体" w:eastAsia="黑体"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本公示公示期为</w:t>
      </w:r>
      <w:r>
        <w:rPr>
          <w:sz w:val="32"/>
          <w:lang w:val="en-US" w:eastAsia="zh-CN"/>
          <w:szCs w:val="32"/>
          <w:rFonts w:ascii="仿宋_GB2312" w:hAnsi="仿宋_GB2312" w:eastAsia="仿宋_GB2312" w:hint="eastAsia"/>
        </w:rPr>
        <w:t xml:space="preserve">3</w:t>
      </w:r>
      <w:r>
        <w:rPr>
          <w:sz w:val="32"/>
          <w:szCs w:val="32"/>
          <w:rFonts w:ascii="仿宋_GB2312" w:hAnsi="仿宋_GB2312" w:eastAsia="仿宋_GB2312" w:hint="eastAsia"/>
        </w:rPr>
        <w:t xml:space="preserve">个工作日，自2026年</w:t>
      </w:r>
      <w:r>
        <w:rPr>
          <w:sz w:val="32"/>
          <w:lang w:val="en-US" w:eastAsia="zh-CN"/>
          <w:szCs w:val="32"/>
          <w:rFonts w:ascii="仿宋_GB2312" w:hAnsi="仿宋_GB2312" w:eastAsia="仿宋_GB2312" w:hint="eastAsia"/>
        </w:rPr>
        <w:t xml:space="preserve">9</w:t>
      </w:r>
      <w:r>
        <w:rPr>
          <w:sz w:val="32"/>
          <w:szCs w:val="32"/>
          <w:rFonts w:ascii="仿宋_GB2312" w:hAnsi="仿宋_GB2312" w:eastAsia="仿宋_GB2312" w:hint="eastAsia"/>
        </w:rPr>
        <w:t xml:space="preserve">月</w:t>
      </w:r>
      <w:r>
        <w:rPr>
          <w:sz w:val="32"/>
          <w:lang w:val="en-US" w:eastAsia="zh-CN"/>
          <w:szCs w:val="32"/>
          <w:rFonts w:ascii="仿宋_GB2312" w:hAnsi="仿宋_GB2312" w:eastAsia="仿宋_GB2312" w:hint="eastAsia"/>
        </w:rPr>
        <w:t xml:space="preserve">29</w:t>
      </w:r>
      <w:r>
        <w:rPr>
          <w:sz w:val="32"/>
          <w:szCs w:val="32"/>
          <w:rFonts w:ascii="仿宋_GB2312" w:hAnsi="仿宋_GB2312" w:eastAsia="仿宋_GB2312" w:hint="eastAsia"/>
        </w:rPr>
        <w:t xml:space="preserve">日至2026年10月</w:t>
      </w:r>
      <w:r>
        <w:rPr>
          <w:sz w:val="32"/>
          <w:lang w:val="en-US" w:eastAsia="zh-CN"/>
          <w:szCs w:val="32"/>
          <w:rFonts w:ascii="仿宋_GB2312" w:hAnsi="仿宋_GB2312" w:eastAsia="仿宋_GB2312" w:hint="eastAsia"/>
        </w:rPr>
        <w:t xml:space="preserve">9</w:t>
      </w:r>
      <w:r>
        <w:rPr>
          <w:sz w:val="32"/>
          <w:szCs w:val="32"/>
          <w:rFonts w:ascii="仿宋_GB2312" w:hAnsi="仿宋_GB2312" w:eastAsia="仿宋_GB2312" w:hint="eastAsia"/>
        </w:rPr>
        <w:t xml:space="preserve">日</w:t>
      </w:r>
      <w:r>
        <w:rPr>
          <w:sz w:val="32"/>
          <w:lang w:eastAsia="zh-CN"/>
          <w:szCs w:val="32"/>
          <w:rFonts w:ascii="仿宋_GB2312" w:hAnsi="仿宋_GB2312" w:eastAsia="仿宋_GB2312" w:hint="eastAsia"/>
        </w:rPr>
        <w:t xml:space="preserve">止（期间遇法定节假日顺延）</w:t>
      </w:r>
      <w:r>
        <w:rPr>
          <w:sz w:val="32"/>
          <w:szCs w:val="32"/>
          <w:rFonts w:ascii="仿宋_GB2312" w:hAnsi="仿宋_GB2312" w:eastAsia="仿宋_GB2312" w:hint="eastAsia"/>
        </w:rPr>
        <w:t xml:space="preserve">。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黑体" w:hAnsi="黑体" w:eastAsia="黑体" w:hint="eastAsia"/>
        </w:rPr>
      </w:pPr>
      <w:r>
        <w:rPr>
          <w:sz w:val="32"/>
          <w:szCs w:val="32"/>
          <w:rFonts w:ascii="黑体" w:hAnsi="黑体" w:eastAsia="黑体" w:hint="eastAsia"/>
        </w:rPr>
        <w:t xml:space="preserve">    六、异议反馈</w:t>
      </w:r>
      <w:r>
        <w:rPr>
          <w:sz w:val="32"/>
          <w:szCs w:val="32"/>
          <w:rFonts w:ascii="黑体" w:hAnsi="黑体" w:eastAsia="黑体"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公示期间，如有单位或个人对本次资产报废处置事项存在异议，请以书面形式实名向我站纪检或财务部门反映，逾期无异议将按程序开展后续处置及账务核销工作。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联系地址：邯郸市邯山区东柳西街18号 邯郸市中心血站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联系电话：8010381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ind w:firstLine="640" w:firstLineChars="2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特此公示。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 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ind w:firstLine="5760" w:firstLineChars="1800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ind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                                   邯郸市中心血站</w:t>
      </w:r>
      <w:r>
        <w:rPr>
          <w:sz w:val="32"/>
          <w:szCs w:val="32"/>
          <w:rFonts w:ascii="仿宋_GB2312" w:hAnsi="仿宋_GB2312" w:eastAsia="仿宋_GB2312" w:hint="eastAsia"/>
        </w:rPr>
      </w:r>
    </w:p>
    <w:p>
      <w:pPr>
        <w:pStyle w:val="Normal"/>
        <w:spacing w:line="480" w:lineRule="exact"/>
        <w:rPr>
          <w:sz w:val="32"/>
          <w:szCs w:val="32"/>
          <w:rFonts w:ascii="仿宋_GB2312" w:hAnsi="仿宋_GB2312" w:eastAsia="仿宋_GB2312" w:hint="eastAsia"/>
        </w:rPr>
      </w:pPr>
      <w:r>
        <w:rPr>
          <w:sz w:val="32"/>
          <w:szCs w:val="32"/>
          <w:rFonts w:ascii="仿宋_GB2312" w:hAnsi="仿宋_GB2312" w:eastAsia="仿宋_GB2312" w:hint="eastAsia"/>
        </w:rPr>
        <w:t xml:space="preserve">                                   2026年</w:t>
      </w:r>
      <w:r>
        <w:rPr>
          <w:sz w:val="32"/>
          <w:lang w:val="en-US" w:eastAsia="zh-CN"/>
          <w:szCs w:val="32"/>
          <w:rFonts w:ascii="仿宋_GB2312" w:hAnsi="仿宋_GB2312" w:eastAsia="仿宋_GB2312" w:hint="eastAsia"/>
        </w:rPr>
        <w:t xml:space="preserve">9</w:t>
      </w:r>
      <w:r>
        <w:rPr>
          <w:sz w:val="32"/>
          <w:szCs w:val="32"/>
          <w:rFonts w:ascii="仿宋_GB2312" w:hAnsi="仿宋_GB2312" w:eastAsia="仿宋_GB2312" w:hint="eastAsia"/>
        </w:rPr>
        <w:t xml:space="preserve">月</w:t>
      </w:r>
      <w:r>
        <w:rPr>
          <w:sz w:val="32"/>
          <w:lang w:val="en-US" w:eastAsia="zh-CN"/>
          <w:szCs w:val="32"/>
          <w:rFonts w:ascii="仿宋_GB2312" w:hAnsi="仿宋_GB2312" w:eastAsia="仿宋_GB2312" w:hint="eastAsia"/>
        </w:rPr>
        <w:t xml:space="preserve">28日</w:t>
      </w:r>
    </w:p>
    <w:sectPr>
      <w:type w:val="nextPage"/>
      <w:docGrid w:type="lines" w:linePitch="312"/>
      <w:pgSz w:w="11906" w:h="16838"/>
      <w:pgMar w:top="1440" w:right="1800" w:bottom="1440" w:left="1800" w:header="851" w:footer="992" w:gutt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/>
    <w:family w:val="auto"/>
    <w:pitch w:val="default"/>
    <w:sig w:usb0="E0002AFF" w:usb1="C0007841" w:usb2="00000009" w:usb3="00000000" w:csb0="400001FF" w:csb1="FFFF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characterSpacingControl w:val="compressPunctuation"/>
  <w:zoom w:percent="10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Calibri" w:hAnsi="Calibri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szCs w:val="24"/>
      <w:kern w:val="2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  <w:semiHidden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Mon Sep 28 19:01:56 2026
save:Mon Sep 28 19:02:52 2026

</file>